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264DF">
        <w:rPr>
          <w:rFonts w:ascii="Times New Roman" w:hAnsi="Times New Roman" w:cs="Times New Roman"/>
          <w:b/>
          <w:sz w:val="24"/>
          <w:szCs w:val="24"/>
        </w:rPr>
        <w:t>1</w:t>
      </w:r>
      <w:r w:rsidR="00CC2798">
        <w:rPr>
          <w:rFonts w:ascii="Times New Roman" w:hAnsi="Times New Roman" w:cs="Times New Roman"/>
          <w:b/>
          <w:sz w:val="24"/>
          <w:szCs w:val="24"/>
        </w:rPr>
        <w:t>7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CC2798">
        <w:rPr>
          <w:rFonts w:ascii="Times New Roman" w:hAnsi="Times New Roman" w:cs="Times New Roman"/>
          <w:sz w:val="24"/>
          <w:szCs w:val="24"/>
        </w:rPr>
        <w:t>06.06</w:t>
      </w:r>
      <w:r w:rsidR="00AB35AF">
        <w:rPr>
          <w:rFonts w:ascii="Times New Roman" w:hAnsi="Times New Roman" w:cs="Times New Roman"/>
          <w:sz w:val="24"/>
          <w:szCs w:val="24"/>
        </w:rPr>
        <w:t>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081AB9" w:rsidRPr="00081AB9" w:rsidRDefault="00081AB9" w:rsidP="00081AB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на единна номерация на подвижната избирателна секция на територията на община Макреш за провеждане  на частични избори за кмет на кметство </w:t>
      </w:r>
      <w:proofErr w:type="spellStart"/>
      <w:r w:rsidRPr="00081AB9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Pr="00081A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23 юни 2024 г.</w:t>
      </w:r>
    </w:p>
    <w:p w:rsidR="00081AB9" w:rsidRPr="00081AB9" w:rsidRDefault="00081AB9" w:rsidP="00081AB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1AB9" w:rsidRPr="00081AB9" w:rsidRDefault="00081AB9" w:rsidP="00081AB9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Одобряване на графичните файлове с образци на бюлетините за частичните избори за кмет на кметство </w:t>
      </w:r>
      <w:proofErr w:type="spellStart"/>
      <w:r w:rsidRPr="00081A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с.Подгоре</w:t>
      </w:r>
      <w:proofErr w:type="spellEnd"/>
      <w:r w:rsidRPr="00081A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, Община Макреш и тиража на бюлетините при произвеждане на частични избори  за кмет на кметство </w:t>
      </w:r>
      <w:proofErr w:type="spellStart"/>
      <w:r w:rsidRPr="00081A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с.Подгоре</w:t>
      </w:r>
      <w:proofErr w:type="spellEnd"/>
      <w:r w:rsidRPr="00081A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на 23 юни 2024 г. в община Макреш</w:t>
      </w:r>
    </w:p>
    <w:p w:rsidR="00081AB9" w:rsidRPr="00081AB9" w:rsidRDefault="00081AB9" w:rsidP="00081AB9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Определяне реда и начина за извършване на промени в съставите на секционната избирателна комисия и подвижната секционна избирателна комисия на територията на община Макреш при произвеждане на частичните избори  за кмет на кметство </w:t>
      </w:r>
      <w:proofErr w:type="spellStart"/>
      <w:r w:rsidRPr="00081AB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с.Подгоре</w:t>
      </w:r>
      <w:proofErr w:type="spellEnd"/>
      <w:r w:rsidRPr="00081AB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на 23 юни 2024г.</w:t>
      </w:r>
    </w:p>
    <w:p w:rsidR="00CC2798" w:rsidRPr="008B0B80" w:rsidRDefault="00CC2798" w:rsidP="00277336">
      <w:pPr>
        <w:pStyle w:val="aa"/>
        <w:ind w:left="1068"/>
        <w:jc w:val="both"/>
        <w:rPr>
          <w:lang w:val="bg-BG" w:eastAsia="bg-BG"/>
        </w:rPr>
      </w:pPr>
    </w:p>
    <w:p w:rsidR="00BE4400" w:rsidRPr="00BE4400" w:rsidRDefault="00BE4400" w:rsidP="00BE44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2C4" w:rsidRPr="007065D8" w:rsidRDefault="009642C4" w:rsidP="00E64A25">
      <w:pPr>
        <w:pStyle w:val="aa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Пламенова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6C435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C27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CC2798" w:rsidRPr="008B0B80" w:rsidRDefault="007B2A76" w:rsidP="00CC2798">
      <w:pPr>
        <w:pStyle w:val="aa"/>
        <w:ind w:firstLine="708"/>
        <w:jc w:val="both"/>
        <w:rPr>
          <w:lang w:val="bg-BG" w:eastAsia="bg-BG"/>
        </w:rPr>
      </w:pPr>
      <w:proofErr w:type="spellStart"/>
      <w:r w:rsidRPr="001264DF">
        <w:rPr>
          <w:b/>
        </w:rPr>
        <w:t>Точка</w:t>
      </w:r>
      <w:proofErr w:type="spellEnd"/>
      <w:r w:rsidRPr="001264DF">
        <w:rPr>
          <w:b/>
        </w:rPr>
        <w:t xml:space="preserve"> 1:</w:t>
      </w:r>
      <w:r w:rsidRPr="007B2A76">
        <w:t xml:space="preserve"> </w:t>
      </w:r>
      <w:r w:rsidR="00CC2798" w:rsidRPr="008B0B80">
        <w:rPr>
          <w:lang w:val="bg-BG" w:eastAsia="bg-BG"/>
        </w:rPr>
        <w:t>Формиране на единна номерация на подвиж</w:t>
      </w:r>
      <w:r w:rsidR="00CC2798">
        <w:rPr>
          <w:lang w:val="bg-BG" w:eastAsia="bg-BG"/>
        </w:rPr>
        <w:t>н</w:t>
      </w:r>
      <w:r w:rsidR="00CC2798" w:rsidRPr="008B0B80">
        <w:rPr>
          <w:lang w:val="bg-BG" w:eastAsia="bg-BG"/>
        </w:rPr>
        <w:t>ата избирателна секция на територията на община Макреш</w:t>
      </w:r>
      <w:r w:rsidR="00277336">
        <w:rPr>
          <w:lang w:val="bg-BG" w:eastAsia="bg-BG"/>
        </w:rPr>
        <w:t xml:space="preserve"> з</w:t>
      </w:r>
      <w:r w:rsidR="00CC2798" w:rsidRPr="008B0B80">
        <w:rPr>
          <w:lang w:val="bg-BG" w:eastAsia="bg-BG"/>
        </w:rPr>
        <w:t xml:space="preserve">а </w:t>
      </w:r>
      <w:proofErr w:type="gramStart"/>
      <w:r w:rsidR="00CC2798" w:rsidRPr="008B0B80">
        <w:rPr>
          <w:lang w:val="bg-BG" w:eastAsia="bg-BG"/>
        </w:rPr>
        <w:t xml:space="preserve">провеждане </w:t>
      </w:r>
      <w:r w:rsidR="00CC2798">
        <w:rPr>
          <w:lang w:val="bg-BG" w:eastAsia="bg-BG"/>
        </w:rPr>
        <w:t xml:space="preserve"> на</w:t>
      </w:r>
      <w:proofErr w:type="gramEnd"/>
      <w:r w:rsidR="00CC2798">
        <w:rPr>
          <w:lang w:val="bg-BG" w:eastAsia="bg-BG"/>
        </w:rPr>
        <w:t xml:space="preserve"> частични избори за кмет на кметство </w:t>
      </w:r>
      <w:proofErr w:type="spellStart"/>
      <w:r w:rsidR="00CC2798">
        <w:rPr>
          <w:lang w:val="bg-BG" w:eastAsia="bg-BG"/>
        </w:rPr>
        <w:t>с.Подгоре</w:t>
      </w:r>
      <w:proofErr w:type="spellEnd"/>
      <w:r w:rsidR="00CC2798">
        <w:rPr>
          <w:lang w:val="bg-BG" w:eastAsia="bg-BG"/>
        </w:rPr>
        <w:t xml:space="preserve">  на 23 юни 2024</w:t>
      </w:r>
      <w:r w:rsidR="00CC2798" w:rsidRPr="008B0B80">
        <w:rPr>
          <w:lang w:val="bg-BG" w:eastAsia="bg-BG"/>
        </w:rPr>
        <w:t xml:space="preserve"> г.</w:t>
      </w:r>
    </w:p>
    <w:p w:rsidR="00BD2291" w:rsidRDefault="00BD2291" w:rsidP="00CC2798">
      <w:pPr>
        <w:pStyle w:val="aa"/>
        <w:ind w:firstLine="708"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4400" w:rsidRPr="00277336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733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Формиране на единна номерация на подвижната избирателна секция на територията на община Макреш за провеждане  на частични избори за кмет на кметство </w:t>
      </w:r>
      <w:proofErr w:type="spellStart"/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на 23 юни 2024 г.</w:t>
      </w: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ОИК – Макреш с вх. № 123/04.06.2024 г. по описа на комисията е постъпила Заповед № 161/03.06.2024 г. на  кмета на община Макреш – Митко Антов, относно образуване на една </w:t>
      </w:r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секция за гласуване с подвижна избирателна кутия на територията на община Макреш за произвеждане на частични избори за кмет на кметство </w:t>
      </w:r>
      <w:proofErr w:type="spellStart"/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23  юни 2024 г. и утвърждаване адрес и номерация на избирателната секция.</w:t>
      </w: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ОИК – Макреш разгледа постъпилите документи и на основание чл. 87, ал. 1, т. 1 и т. 7, чл. 90, ал. 1 от Изборния кодекс и Решение № 2599-МИ от 05.10.2023 г. на ЦИК, Общинска избирателна комисия - Макреш, </w:t>
      </w: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7336" w:rsidRPr="00277336" w:rsidRDefault="00277336" w:rsidP="00277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7733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РЕШИ:</w:t>
      </w:r>
    </w:p>
    <w:p w:rsidR="00277336" w:rsidRPr="00277336" w:rsidRDefault="00277336" w:rsidP="00277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77336" w:rsidRPr="00277336" w:rsidRDefault="00277336" w:rsidP="00277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ФОРМИРА единна номерация на подвижната избирателна секция на територията на община Макреш за произвеждане на избори за кмет на кметство </w:t>
      </w:r>
      <w:proofErr w:type="spellStart"/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на 23 юни 2024 г., както следва:</w:t>
      </w: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7733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ПСИК № 052500008, адрес: с. Подгоре, ул. Ленин № 8 – сградата на НЧ „Михаил Здравков-1915“, ет.1 пенсионерски клуб </w:t>
      </w: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е изготвено в два еднообразни екземпляра.</w:t>
      </w: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73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Решението подлежи на обжалване в тридневен срок от обявяването му пред Централната избирателна комисия. </w:t>
      </w: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4400" w:rsidRPr="00CC2798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352956" w:rsidRPr="00CC2798" w:rsidRDefault="00352956" w:rsidP="00277336">
      <w:pPr>
        <w:pStyle w:val="ac"/>
        <w:shd w:val="clear" w:color="auto" w:fill="FFFFFF"/>
        <w:spacing w:before="0" w:beforeAutospacing="0" w:after="150" w:afterAutospacing="0"/>
        <w:ind w:firstLine="708"/>
        <w:rPr>
          <w:i/>
        </w:rPr>
      </w:pPr>
      <w:r w:rsidRPr="00CC2798">
        <w:rPr>
          <w:i/>
        </w:rPr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CC2798">
        <w:rPr>
          <w:rFonts w:ascii="Times New Roman" w:hAnsi="Times New Roman" w:cs="Times New Roman"/>
          <w:sz w:val="24"/>
          <w:szCs w:val="24"/>
        </w:rPr>
        <w:t>8</w:t>
      </w:r>
      <w:r w:rsidR="00277336">
        <w:rPr>
          <w:rFonts w:ascii="Times New Roman" w:hAnsi="Times New Roman" w:cs="Times New Roman"/>
          <w:sz w:val="24"/>
          <w:szCs w:val="24"/>
        </w:rPr>
        <w:t>4</w:t>
      </w:r>
      <w:r w:rsidR="00F21172"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CC2798">
        <w:rPr>
          <w:rFonts w:ascii="Times New Roman" w:hAnsi="Times New Roman" w:cs="Times New Roman"/>
          <w:sz w:val="24"/>
          <w:szCs w:val="24"/>
        </w:rPr>
        <w:t>06.06</w:t>
      </w:r>
      <w:r w:rsidR="00ED560B">
        <w:rPr>
          <w:rFonts w:ascii="Times New Roman" w:hAnsi="Times New Roman" w:cs="Times New Roman"/>
          <w:sz w:val="24"/>
          <w:szCs w:val="24"/>
        </w:rPr>
        <w:t>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CC2798" w:rsidRPr="004B0261" w:rsidRDefault="00E64A25" w:rsidP="00CC2798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E64A25">
        <w:rPr>
          <w:b/>
        </w:rPr>
        <w:t>Точка 2:</w:t>
      </w:r>
      <w:r w:rsidRPr="00E64A25">
        <w:t xml:space="preserve"> </w:t>
      </w:r>
      <w:r w:rsidR="00CC2798" w:rsidRPr="00BA1954">
        <w:rPr>
          <w:color w:val="000000"/>
          <w:shd w:val="clear" w:color="auto" w:fill="FFFFFF"/>
        </w:rPr>
        <w:t xml:space="preserve">Одобряване на графичните файлове с образци на бюлетините за всички видове избори на територията на Община Макреш и тиража на бюлетините при произвеждане на </w:t>
      </w:r>
      <w:r w:rsidR="00CC2798">
        <w:rPr>
          <w:color w:val="000000"/>
          <w:shd w:val="clear" w:color="auto" w:fill="FFFFFF"/>
        </w:rPr>
        <w:t xml:space="preserve">частични избори  за кмет на кметство </w:t>
      </w:r>
      <w:proofErr w:type="spellStart"/>
      <w:r w:rsidR="00CC2798">
        <w:rPr>
          <w:color w:val="000000"/>
          <w:shd w:val="clear" w:color="auto" w:fill="FFFFFF"/>
        </w:rPr>
        <w:t>с.Подгоре</w:t>
      </w:r>
      <w:proofErr w:type="spellEnd"/>
      <w:r w:rsidR="00CC2798">
        <w:rPr>
          <w:color w:val="000000"/>
          <w:shd w:val="clear" w:color="auto" w:fill="FFFFFF"/>
        </w:rPr>
        <w:t xml:space="preserve"> на 23 юни 2024</w:t>
      </w:r>
      <w:r w:rsidR="00CC2798" w:rsidRPr="00BA1954">
        <w:rPr>
          <w:color w:val="000000"/>
          <w:shd w:val="clear" w:color="auto" w:fill="FFFFFF"/>
        </w:rPr>
        <w:t xml:space="preserve"> г. в община Макреш</w:t>
      </w:r>
    </w:p>
    <w:p w:rsidR="00E64A25" w:rsidRDefault="00E64A25" w:rsidP="00E64A25">
      <w:pPr>
        <w:pStyle w:val="ac"/>
        <w:jc w:val="both"/>
      </w:pPr>
      <w:r>
        <w:t>Биляна Костова предложи следния проект на решение:</w:t>
      </w:r>
    </w:p>
    <w:p w:rsidR="00081AB9" w:rsidRPr="00081AB9" w:rsidRDefault="00081AB9" w:rsidP="00081A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ОТНОСНО: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 xml:space="preserve">Одобряване на графичните файлове с образци на бюлетините за частичните избори за кмет на кметство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с.Подгоре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 xml:space="preserve">, Община Макреш и тиража на бюлетините при произвеждане на частични </w:t>
      </w:r>
      <w:proofErr w:type="gram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избори  за</w:t>
      </w:r>
      <w:proofErr w:type="gram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 xml:space="preserve"> кмет на кметство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с.Подгоре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 xml:space="preserve"> на 23 юни 2024 г. в община Макреш</w:t>
      </w:r>
      <w:bookmarkStart w:id="0" w:name="_GoBack"/>
      <w:bookmarkEnd w:id="0"/>
    </w:p>
    <w:p w:rsidR="00081AB9" w:rsidRPr="00081AB9" w:rsidRDefault="00081AB9" w:rsidP="00081A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основание чл. 87, ал. 1 т.9  от ИК, във връзка с Наредбата за условията и реда за отпечатване и контрол върху ценни книжа, във връзка с чл.209, ал.3 от ИК и в изпълнение на Решение  № 1979-МИ/18.08.2023г на ЦИК,  Инструкция  с писмо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изх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№ МИ-06-348 от 05.06.2024г на ЦИК ,както и във връзка с писмо с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Вх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№  ЦИК -МИ-19-346/04.06.2024г на  ЦИК,  ОИК – Макреш</w:t>
      </w:r>
    </w:p>
    <w:p w:rsidR="00081AB9" w:rsidRPr="00081AB9" w:rsidRDefault="00081AB9" w:rsidP="00081A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lastRenderedPageBreak/>
        <w:t xml:space="preserve">                                                          РЕШИ:</w:t>
      </w:r>
    </w:p>
    <w:p w:rsidR="00081AB9" w:rsidRPr="00081AB9" w:rsidRDefault="00081AB9" w:rsidP="00081A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графичния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файл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с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образец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 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бюлетината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 </w:t>
      </w:r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Кмет</w:t>
      </w:r>
      <w:proofErr w:type="spellEnd"/>
      <w:proofErr w:type="gramEnd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кметство</w:t>
      </w:r>
      <w:proofErr w:type="spellEnd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с.</w:t>
      </w:r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Подгоре</w:t>
      </w:r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Община</w:t>
      </w:r>
      <w:proofErr w:type="spellEnd"/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</w:t>
      </w:r>
    </w:p>
    <w:p w:rsidR="00081AB9" w:rsidRPr="00081AB9" w:rsidRDefault="00081AB9" w:rsidP="00081A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След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одобряване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образеца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присъстващите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членове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ОИК-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Мареш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подписаха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разпечатения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ц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ата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и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саморъчно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изписаха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имената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си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върху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нея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.</w:t>
      </w:r>
    </w:p>
    <w:p w:rsidR="00081AB9" w:rsidRPr="00081AB9" w:rsidRDefault="00081AB9" w:rsidP="00081A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Одобряването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образеца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да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удостовери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с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електронен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подпис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системата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генериране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графични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образци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.</w:t>
      </w:r>
    </w:p>
    <w:p w:rsidR="00081AB9" w:rsidRPr="00081AB9" w:rsidRDefault="00081AB9" w:rsidP="00081A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Утвърждава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тираж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отпечатване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бюлетини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произвеждане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изборите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за</w:t>
      </w:r>
      <w:proofErr w:type="spellEnd"/>
      <w:proofErr w:type="gram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кмет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кметство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 с.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Подгоре на 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23 ЮНИ 202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г. в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Община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изчислен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съгласно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чл.209, ал.3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Изборния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кодекс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както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следва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:</w:t>
      </w:r>
    </w:p>
    <w:p w:rsidR="00081AB9" w:rsidRPr="00081AB9" w:rsidRDefault="00081AB9" w:rsidP="00081A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   </w:t>
      </w:r>
    </w:p>
    <w:tbl>
      <w:tblPr>
        <w:tblW w:w="8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3178"/>
        <w:gridCol w:w="2684"/>
      </w:tblGrid>
      <w:tr w:rsidR="00081AB9" w:rsidRPr="00081AB9" w:rsidTr="007B2F78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1AB9" w:rsidRPr="00081AB9" w:rsidRDefault="00081AB9" w:rsidP="00081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81A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1AB9" w:rsidRPr="00081AB9" w:rsidRDefault="00081AB9" w:rsidP="00081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81A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1AB9" w:rsidRPr="00081AB9" w:rsidRDefault="00081AB9" w:rsidP="00081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81A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Общо тираж</w:t>
            </w:r>
          </w:p>
          <w:p w:rsidR="00081AB9" w:rsidRPr="00081AB9" w:rsidRDefault="00081AB9" w:rsidP="00081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81A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в т.ч. 10% резерв</w:t>
            </w:r>
          </w:p>
        </w:tc>
      </w:tr>
      <w:tr w:rsidR="00081AB9" w:rsidRPr="00081AB9" w:rsidTr="007B2F78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1AB9" w:rsidRPr="00081AB9" w:rsidRDefault="00081AB9" w:rsidP="00081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81A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3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1AB9" w:rsidRPr="00081AB9" w:rsidRDefault="00081AB9" w:rsidP="00081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81A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с. Подгоре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1AB9" w:rsidRPr="00081AB9" w:rsidRDefault="00081AB9" w:rsidP="00081A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81A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300</w:t>
            </w:r>
          </w:p>
        </w:tc>
      </w:tr>
    </w:tbl>
    <w:p w:rsidR="00081AB9" w:rsidRPr="00081AB9" w:rsidRDefault="00081AB9" w:rsidP="00081A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  </w:t>
      </w:r>
    </w:p>
    <w:p w:rsidR="00081AB9" w:rsidRPr="00081AB9" w:rsidRDefault="00081AB9" w:rsidP="00081A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081AB9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 xml:space="preserve">           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Решението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е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изготвено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два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еднообразни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екземпляра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</w:t>
      </w:r>
    </w:p>
    <w:p w:rsidR="00081AB9" w:rsidRPr="00081AB9" w:rsidRDefault="00081AB9" w:rsidP="00081A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Решението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подлежи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обжалване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тридневен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срок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обявяването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му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Централната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  </w:t>
      </w:r>
    </w:p>
    <w:p w:rsidR="00081AB9" w:rsidRPr="00081AB9" w:rsidRDefault="00081AB9" w:rsidP="00081A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4A25" w:rsidRPr="00C53CC0" w:rsidRDefault="00E64A25" w:rsidP="00E64A25">
      <w:pPr>
        <w:pStyle w:val="aa"/>
        <w:ind w:firstLine="708"/>
        <w:jc w:val="both"/>
      </w:pP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 xml:space="preserve">.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E64A25" w:rsidRPr="00C53CC0" w:rsidRDefault="00E64A25" w:rsidP="00E64A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CC2798">
        <w:rPr>
          <w:rFonts w:ascii="Times New Roman" w:hAnsi="Times New Roman" w:cs="Times New Roman"/>
          <w:sz w:val="24"/>
          <w:szCs w:val="24"/>
        </w:rPr>
        <w:t>8</w:t>
      </w:r>
      <w:r w:rsidR="00277336">
        <w:rPr>
          <w:rFonts w:ascii="Times New Roman" w:hAnsi="Times New Roman" w:cs="Times New Roman"/>
          <w:sz w:val="24"/>
          <w:szCs w:val="24"/>
        </w:rPr>
        <w:t>5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CC2798">
        <w:rPr>
          <w:rFonts w:ascii="Times New Roman" w:hAnsi="Times New Roman" w:cs="Times New Roman"/>
          <w:sz w:val="24"/>
          <w:szCs w:val="24"/>
        </w:rPr>
        <w:t>06.06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CC2798" w:rsidRPr="008E3EC8" w:rsidRDefault="002F4AAB" w:rsidP="00CC2798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AB35AF">
        <w:rPr>
          <w:b/>
        </w:rPr>
        <w:t>Точка 3</w:t>
      </w:r>
      <w:r w:rsidR="00CC2798">
        <w:rPr>
          <w:b/>
        </w:rPr>
        <w:t xml:space="preserve"> </w:t>
      </w:r>
      <w:r w:rsidR="00CC2798" w:rsidRPr="008E3EC8">
        <w:rPr>
          <w:color w:val="000000"/>
        </w:rPr>
        <w:t xml:space="preserve">Определяне реда и начина за извършване на промени в съставите на секционните избирателни комисии и подвижните секционни избирателни комисии на територията на община Макреш при произвеждане на </w:t>
      </w:r>
      <w:r w:rsidR="00CC2798">
        <w:rPr>
          <w:color w:val="000000"/>
        </w:rPr>
        <w:t xml:space="preserve">частичните избори  за кмет на кметство </w:t>
      </w:r>
      <w:proofErr w:type="spellStart"/>
      <w:r w:rsidR="00CC2798">
        <w:rPr>
          <w:color w:val="000000"/>
        </w:rPr>
        <w:t>с.Подгоре</w:t>
      </w:r>
      <w:proofErr w:type="spellEnd"/>
      <w:r w:rsidR="00CC2798">
        <w:rPr>
          <w:color w:val="000000"/>
        </w:rPr>
        <w:t xml:space="preserve">  на 23 юни 2024</w:t>
      </w:r>
      <w:r w:rsidR="00CC2798" w:rsidRPr="008E3EC8">
        <w:rPr>
          <w:color w:val="000000"/>
        </w:rPr>
        <w:t>г.</w:t>
      </w:r>
    </w:p>
    <w:p w:rsidR="002F4AAB" w:rsidRDefault="002F4AAB" w:rsidP="00AB35AF">
      <w:pPr>
        <w:pStyle w:val="ac"/>
        <w:shd w:val="clear" w:color="auto" w:fill="FFFFFF"/>
        <w:spacing w:before="0" w:beforeAutospacing="0" w:after="150" w:afterAutospacing="0"/>
        <w:jc w:val="both"/>
      </w:pPr>
      <w:r>
        <w:t>Биляна Костова предложи следния проект на решение:</w:t>
      </w:r>
    </w:p>
    <w:p w:rsidR="00081AB9" w:rsidRPr="00081AB9" w:rsidRDefault="00081AB9" w:rsidP="00081A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ОТНОСНО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:</w:t>
      </w: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 Определяне реда и начина за извършване на промени в съставите на секционната избирателна комисия и подвижната секционна избирателна комисия на територията на община Макреш при произвеждане на частичните </w:t>
      </w:r>
      <w:proofErr w:type="gram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избори  за</w:t>
      </w:r>
      <w:proofErr w:type="gram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кмет на кметство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с.Подгоре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на 23 юни 2024г.</w:t>
      </w:r>
    </w:p>
    <w:p w:rsidR="00081AB9" w:rsidRPr="00081AB9" w:rsidRDefault="00081AB9" w:rsidP="00081A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основание чл. 87, ал. 1, т.1 във </w:t>
      </w:r>
      <w:proofErr w:type="spellStart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вр</w:t>
      </w:r>
      <w:proofErr w:type="spellEnd"/>
      <w:r w:rsidRPr="00081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 чл. 87, ал. 1, т. 6, във връзка с чл. 51, ал. 2 и ал. 3 от Изборния кодекс, Общинската избирателна комисия  - Макреш</w:t>
      </w:r>
    </w:p>
    <w:p w:rsidR="00081AB9" w:rsidRPr="00081AB9" w:rsidRDefault="00081AB9" w:rsidP="00081A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081A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РЕШИ: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Правомощията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член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секционна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/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подвижна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секционна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прекратяват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предсрочно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а)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подаване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оставка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б)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влизане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сила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присъда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с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която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е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наложено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наказание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лишаване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свобода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в)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поставяне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запрещение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г)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несъвместимост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д)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влизане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сила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акт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с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който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е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установен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конфликт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интереси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Закона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предотвратяване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установяване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конфликт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интереси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е)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смърт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ж)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неявяване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изборния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Промените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съставите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секционната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и 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подвижна</w:t>
      </w:r>
      <w:proofErr w:type="spellEnd"/>
      <w:proofErr w:type="gram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секционна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територията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с.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Подгоре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община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произвеждане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частични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избори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кмет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кметство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с.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Подгоре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община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 xml:space="preserve">Макреш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23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юни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2024 г.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извършват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решение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Общинската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–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а)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т. 1,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буква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„</w:t>
      </w:r>
      <w:proofErr w:type="gram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а“ -</w:t>
      </w:r>
      <w:proofErr w:type="gram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след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внасяне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заявление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-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оставка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свободен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текст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) в ОИК –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подписано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назначения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член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СИК/ПСИК и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предложение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същата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партия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/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коалиция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партии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Предложението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представя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ОИК -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хартиен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електронен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носител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Издаденото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назначения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член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СИК/ПСИК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удостоверение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връща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ОИК -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случай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унищожаване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или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изгубване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удостоверението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това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обстоятелство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отразява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подаденото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лицето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заявление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б)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т. 1,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букви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„</w:t>
      </w:r>
      <w:proofErr w:type="gram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б“</w:t>
      </w:r>
      <w:proofErr w:type="gram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„в“, „г“, „д“ и „е”–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след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внасяне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документ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ОИК –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удостоверяващ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съответното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обстоятелство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съставляващо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основание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прекратяване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правомощията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член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СИК/ПСИК и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предложение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същата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партия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/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коалиция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партии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Предложението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представя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ОИК -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хартиен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електронен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носител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.;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в)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т. 1,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буква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„</w:t>
      </w:r>
      <w:proofErr w:type="gram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ж“ –</w:t>
      </w:r>
      <w:proofErr w:type="gram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реда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чл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229,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ал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2, 3, 4 и 5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Изборния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кодекс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загуба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или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унищожаване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удостоверение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ОИК –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издава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ново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удостоверение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надпис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„</w:t>
      </w:r>
      <w:proofErr w:type="gram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ДУБЛИКАТ“ в</w:t>
      </w:r>
      <w:proofErr w:type="gram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горния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десен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ъгъл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081AB9" w:rsidRPr="00081AB9" w:rsidRDefault="00081AB9" w:rsidP="0008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допуснати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технически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грешки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издадено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удостоверение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член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СИК/ПСИК, ОИК –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анулира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сгрешеното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удостоверение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издава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ново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такова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със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същия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номер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или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удостоверението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коригира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добавя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надпис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„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Поправката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е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ОИК - 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</w:rPr>
        <w:t>Макреш</w:t>
      </w:r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”,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подписва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член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ОИК и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възможност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подпечатва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печата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081AB9" w:rsidRPr="00081AB9" w:rsidRDefault="00081AB9" w:rsidP="00081A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81AB9" w:rsidRPr="00081AB9" w:rsidRDefault="00081AB9" w:rsidP="00081A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Решението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е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изготвено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два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еднообразни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екземпляра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081AB9" w:rsidRPr="00081AB9" w:rsidRDefault="00081AB9" w:rsidP="00081A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Решението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подлежи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обжалване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тридневен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срок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обявяването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му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Централната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081A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  </w:t>
      </w:r>
    </w:p>
    <w:p w:rsidR="00081AB9" w:rsidRPr="00081AB9" w:rsidRDefault="00081AB9" w:rsidP="00081A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897" w:rsidRDefault="00E81897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2F4AAB" w:rsidRPr="00C53CC0" w:rsidRDefault="002F4AAB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Pr="00C53CC0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CC2798">
        <w:rPr>
          <w:rFonts w:ascii="Times New Roman" w:hAnsi="Times New Roman" w:cs="Times New Roman"/>
          <w:sz w:val="24"/>
          <w:szCs w:val="24"/>
        </w:rPr>
        <w:t>8</w:t>
      </w:r>
      <w:r w:rsidR="00C10793">
        <w:rPr>
          <w:rFonts w:ascii="Times New Roman" w:hAnsi="Times New Roman" w:cs="Times New Roman"/>
          <w:sz w:val="24"/>
          <w:szCs w:val="24"/>
        </w:rPr>
        <w:t>6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CC2798">
        <w:rPr>
          <w:rFonts w:ascii="Times New Roman" w:hAnsi="Times New Roman" w:cs="Times New Roman"/>
          <w:sz w:val="24"/>
          <w:szCs w:val="24"/>
        </w:rPr>
        <w:t>06.06</w:t>
      </w:r>
      <w:r w:rsidR="0024045E"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1C1E4D" w:rsidRP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4AA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4A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E56C0" w:rsidRPr="00DB7A7A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EA" w:rsidRDefault="00F000EA" w:rsidP="007B2A76">
      <w:pPr>
        <w:spacing w:after="0" w:line="240" w:lineRule="auto"/>
      </w:pPr>
      <w:r>
        <w:separator/>
      </w:r>
    </w:p>
  </w:endnote>
  <w:endnote w:type="continuationSeparator" w:id="0">
    <w:p w:rsidR="00F000EA" w:rsidRDefault="00F000EA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081AB9">
      <w:rPr>
        <w:rFonts w:ascii="Times New Roman" w:eastAsia="Times New Roman" w:hAnsi="Times New Roman" w:cs="Times New Roman"/>
        <w:noProof/>
        <w:sz w:val="24"/>
        <w:szCs w:val="24"/>
        <w:lang w:val="en-GB"/>
      </w:rPr>
      <w:t>3</w:t>
    </w:r>
    <w:r w:rsidR="002D56A9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EA" w:rsidRDefault="00F000EA" w:rsidP="007B2A76">
      <w:pPr>
        <w:spacing w:after="0" w:line="240" w:lineRule="auto"/>
      </w:pPr>
      <w:r>
        <w:separator/>
      </w:r>
    </w:p>
  </w:footnote>
  <w:footnote w:type="continuationSeparator" w:id="0">
    <w:p w:rsidR="00F000EA" w:rsidRDefault="00F000EA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F000EA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96F7E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344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867C1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C27E3"/>
    <w:multiLevelType w:val="multilevel"/>
    <w:tmpl w:val="BB72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B71F1"/>
    <w:multiLevelType w:val="multilevel"/>
    <w:tmpl w:val="D3EE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27361"/>
    <w:multiLevelType w:val="hybridMultilevel"/>
    <w:tmpl w:val="6DAE3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604019"/>
    <w:multiLevelType w:val="hybridMultilevel"/>
    <w:tmpl w:val="D8DE58D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4"/>
  </w:num>
  <w:num w:numId="3">
    <w:abstractNumId w:val="4"/>
  </w:num>
  <w:num w:numId="4">
    <w:abstractNumId w:val="25"/>
  </w:num>
  <w:num w:numId="5">
    <w:abstractNumId w:val="3"/>
  </w:num>
  <w:num w:numId="6">
    <w:abstractNumId w:val="1"/>
  </w:num>
  <w:num w:numId="7">
    <w:abstractNumId w:val="11"/>
  </w:num>
  <w:num w:numId="8">
    <w:abstractNumId w:val="18"/>
  </w:num>
  <w:num w:numId="9">
    <w:abstractNumId w:val="14"/>
  </w:num>
  <w:num w:numId="10">
    <w:abstractNumId w:val="16"/>
  </w:num>
  <w:num w:numId="11">
    <w:abstractNumId w:val="5"/>
  </w:num>
  <w:num w:numId="12">
    <w:abstractNumId w:val="7"/>
  </w:num>
  <w:num w:numId="13">
    <w:abstractNumId w:val="13"/>
  </w:num>
  <w:num w:numId="14">
    <w:abstractNumId w:val="0"/>
  </w:num>
  <w:num w:numId="15">
    <w:abstractNumId w:val="6"/>
  </w:num>
  <w:num w:numId="16">
    <w:abstractNumId w:val="19"/>
  </w:num>
  <w:num w:numId="17">
    <w:abstractNumId w:val="17"/>
  </w:num>
  <w:num w:numId="18">
    <w:abstractNumId w:val="2"/>
  </w:num>
  <w:num w:numId="19">
    <w:abstractNumId w:val="22"/>
  </w:num>
  <w:num w:numId="20">
    <w:abstractNumId w:val="21"/>
  </w:num>
  <w:num w:numId="21">
    <w:abstractNumId w:val="8"/>
  </w:num>
  <w:num w:numId="22">
    <w:abstractNumId w:val="10"/>
  </w:num>
  <w:num w:numId="23">
    <w:abstractNumId w:val="12"/>
  </w:num>
  <w:num w:numId="24">
    <w:abstractNumId w:val="20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6"/>
    <w:rsid w:val="00014FB7"/>
    <w:rsid w:val="00017F42"/>
    <w:rsid w:val="00033001"/>
    <w:rsid w:val="000530AD"/>
    <w:rsid w:val="00054906"/>
    <w:rsid w:val="00057828"/>
    <w:rsid w:val="00081AB9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1C22"/>
    <w:rsid w:val="000F40B5"/>
    <w:rsid w:val="000F56CD"/>
    <w:rsid w:val="000F5ACD"/>
    <w:rsid w:val="001007F0"/>
    <w:rsid w:val="001264DF"/>
    <w:rsid w:val="00137831"/>
    <w:rsid w:val="00173794"/>
    <w:rsid w:val="00185298"/>
    <w:rsid w:val="00185688"/>
    <w:rsid w:val="0018776D"/>
    <w:rsid w:val="001A229D"/>
    <w:rsid w:val="001B63F7"/>
    <w:rsid w:val="001B6E0F"/>
    <w:rsid w:val="001C1E4D"/>
    <w:rsid w:val="001C547D"/>
    <w:rsid w:val="001E7718"/>
    <w:rsid w:val="002337AA"/>
    <w:rsid w:val="0023754E"/>
    <w:rsid w:val="0024045E"/>
    <w:rsid w:val="00246506"/>
    <w:rsid w:val="00250F27"/>
    <w:rsid w:val="002621FA"/>
    <w:rsid w:val="00262DDC"/>
    <w:rsid w:val="00266C92"/>
    <w:rsid w:val="00277336"/>
    <w:rsid w:val="002B24C6"/>
    <w:rsid w:val="002B4C4E"/>
    <w:rsid w:val="002C6CB2"/>
    <w:rsid w:val="002D505F"/>
    <w:rsid w:val="002D56A9"/>
    <w:rsid w:val="002E56C0"/>
    <w:rsid w:val="002E5D59"/>
    <w:rsid w:val="002F4AAB"/>
    <w:rsid w:val="00323626"/>
    <w:rsid w:val="0034149A"/>
    <w:rsid w:val="00352956"/>
    <w:rsid w:val="00354A2E"/>
    <w:rsid w:val="00370354"/>
    <w:rsid w:val="003D15C9"/>
    <w:rsid w:val="003D628C"/>
    <w:rsid w:val="003D77FA"/>
    <w:rsid w:val="003E10FD"/>
    <w:rsid w:val="003E3CB2"/>
    <w:rsid w:val="003E5FD4"/>
    <w:rsid w:val="003F074C"/>
    <w:rsid w:val="003F0EEB"/>
    <w:rsid w:val="003F5ABC"/>
    <w:rsid w:val="003F5EFF"/>
    <w:rsid w:val="004001C9"/>
    <w:rsid w:val="004128C3"/>
    <w:rsid w:val="0043296A"/>
    <w:rsid w:val="00446876"/>
    <w:rsid w:val="00450A6E"/>
    <w:rsid w:val="00463968"/>
    <w:rsid w:val="004700E4"/>
    <w:rsid w:val="004A4451"/>
    <w:rsid w:val="004B5346"/>
    <w:rsid w:val="004C6A47"/>
    <w:rsid w:val="004E3F7E"/>
    <w:rsid w:val="004F0D3C"/>
    <w:rsid w:val="00524545"/>
    <w:rsid w:val="00534FB2"/>
    <w:rsid w:val="005709B3"/>
    <w:rsid w:val="00575250"/>
    <w:rsid w:val="00581060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6EEB"/>
    <w:rsid w:val="007065D8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21F51"/>
    <w:rsid w:val="00824704"/>
    <w:rsid w:val="00833468"/>
    <w:rsid w:val="00834595"/>
    <w:rsid w:val="00855992"/>
    <w:rsid w:val="00860DAD"/>
    <w:rsid w:val="00866D54"/>
    <w:rsid w:val="00885EC2"/>
    <w:rsid w:val="00897052"/>
    <w:rsid w:val="008A3A30"/>
    <w:rsid w:val="008C097C"/>
    <w:rsid w:val="008C3F85"/>
    <w:rsid w:val="008D20F4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0D6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76161"/>
    <w:rsid w:val="00A8421C"/>
    <w:rsid w:val="00AB33A7"/>
    <w:rsid w:val="00AB35AF"/>
    <w:rsid w:val="00AB5F11"/>
    <w:rsid w:val="00AF7974"/>
    <w:rsid w:val="00AF7B1F"/>
    <w:rsid w:val="00B05078"/>
    <w:rsid w:val="00B11400"/>
    <w:rsid w:val="00B15808"/>
    <w:rsid w:val="00B403AB"/>
    <w:rsid w:val="00B41106"/>
    <w:rsid w:val="00B4486F"/>
    <w:rsid w:val="00B45E8D"/>
    <w:rsid w:val="00B64A99"/>
    <w:rsid w:val="00B669B1"/>
    <w:rsid w:val="00B72BD4"/>
    <w:rsid w:val="00BC38B5"/>
    <w:rsid w:val="00BC7D95"/>
    <w:rsid w:val="00BD1018"/>
    <w:rsid w:val="00BD2291"/>
    <w:rsid w:val="00BE4400"/>
    <w:rsid w:val="00BE5EE4"/>
    <w:rsid w:val="00C02C98"/>
    <w:rsid w:val="00C10793"/>
    <w:rsid w:val="00C53CC0"/>
    <w:rsid w:val="00C7254A"/>
    <w:rsid w:val="00C8218A"/>
    <w:rsid w:val="00C91573"/>
    <w:rsid w:val="00CB7F83"/>
    <w:rsid w:val="00CC2798"/>
    <w:rsid w:val="00D02F87"/>
    <w:rsid w:val="00D20CEC"/>
    <w:rsid w:val="00D27258"/>
    <w:rsid w:val="00D75A6F"/>
    <w:rsid w:val="00D814FC"/>
    <w:rsid w:val="00D864C9"/>
    <w:rsid w:val="00DA2D7A"/>
    <w:rsid w:val="00DA7507"/>
    <w:rsid w:val="00DB32C7"/>
    <w:rsid w:val="00DB7A7A"/>
    <w:rsid w:val="00DC6933"/>
    <w:rsid w:val="00DD6E55"/>
    <w:rsid w:val="00DE5611"/>
    <w:rsid w:val="00DF023C"/>
    <w:rsid w:val="00E010BF"/>
    <w:rsid w:val="00E11DE1"/>
    <w:rsid w:val="00E23483"/>
    <w:rsid w:val="00E25D34"/>
    <w:rsid w:val="00E43734"/>
    <w:rsid w:val="00E51EBC"/>
    <w:rsid w:val="00E5361E"/>
    <w:rsid w:val="00E64A25"/>
    <w:rsid w:val="00E81897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00EA"/>
    <w:rsid w:val="00F01747"/>
    <w:rsid w:val="00F054E1"/>
    <w:rsid w:val="00F06848"/>
    <w:rsid w:val="00F11241"/>
    <w:rsid w:val="00F15137"/>
    <w:rsid w:val="00F21172"/>
    <w:rsid w:val="00F22082"/>
    <w:rsid w:val="00F34F2F"/>
    <w:rsid w:val="00F919BE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7B94-265F-42E3-8400-E6E841BD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1354</Words>
  <Characters>7723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2024-01-10T13:16:00Z</cp:lastPrinted>
  <dcterms:created xsi:type="dcterms:W3CDTF">2024-06-06T06:08:00Z</dcterms:created>
  <dcterms:modified xsi:type="dcterms:W3CDTF">2024-06-06T13:46:00Z</dcterms:modified>
</cp:coreProperties>
</file>